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闽南师范大学网站升级及网络支付系统开发询价单</w:t>
      </w:r>
    </w:p>
    <w:p>
      <w:pPr>
        <w:rPr>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091"/>
        <w:gridCol w:w="4909"/>
        <w:gridCol w:w="625"/>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rPr>
                <w:szCs w:val="21"/>
              </w:rPr>
            </w:pPr>
            <w:r>
              <w:rPr>
                <w:rFonts w:hint="eastAsia"/>
                <w:szCs w:val="21"/>
              </w:rPr>
              <w:t>序号</w:t>
            </w:r>
          </w:p>
        </w:tc>
        <w:tc>
          <w:tcPr>
            <w:tcW w:w="1091" w:type="dxa"/>
          </w:tcPr>
          <w:p>
            <w:pPr>
              <w:rPr>
                <w:szCs w:val="21"/>
              </w:rPr>
            </w:pPr>
            <w:r>
              <w:rPr>
                <w:rFonts w:hint="eastAsia"/>
                <w:szCs w:val="21"/>
              </w:rPr>
              <w:t>品名</w:t>
            </w:r>
          </w:p>
        </w:tc>
        <w:tc>
          <w:tcPr>
            <w:tcW w:w="4909" w:type="dxa"/>
          </w:tcPr>
          <w:p>
            <w:pPr>
              <w:rPr>
                <w:szCs w:val="21"/>
              </w:rPr>
            </w:pPr>
            <w:r>
              <w:rPr>
                <w:rFonts w:hint="eastAsia"/>
                <w:szCs w:val="21"/>
              </w:rPr>
              <w:t>具体要求（规格）</w:t>
            </w:r>
          </w:p>
        </w:tc>
        <w:tc>
          <w:tcPr>
            <w:tcW w:w="625" w:type="dxa"/>
          </w:tcPr>
          <w:p>
            <w:pPr>
              <w:rPr>
                <w:szCs w:val="21"/>
              </w:rPr>
            </w:pPr>
            <w:r>
              <w:rPr>
                <w:rFonts w:hint="eastAsia"/>
                <w:szCs w:val="21"/>
              </w:rPr>
              <w:t>数量</w:t>
            </w:r>
          </w:p>
        </w:tc>
        <w:tc>
          <w:tcPr>
            <w:tcW w:w="1364" w:type="dxa"/>
          </w:tcPr>
          <w:p>
            <w:pP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33" w:type="dxa"/>
            <w:vAlign w:val="center"/>
          </w:tcPr>
          <w:p>
            <w:pPr>
              <w:jc w:val="center"/>
              <w:rPr>
                <w:szCs w:val="21"/>
              </w:rPr>
            </w:pPr>
            <w:r>
              <w:rPr>
                <w:rFonts w:hint="eastAsia"/>
                <w:szCs w:val="21"/>
              </w:rPr>
              <w:t>1</w:t>
            </w:r>
          </w:p>
        </w:tc>
        <w:tc>
          <w:tcPr>
            <w:tcW w:w="1091" w:type="dxa"/>
          </w:tcPr>
          <w:p>
            <w:pPr>
              <w:rPr>
                <w:szCs w:val="21"/>
              </w:rPr>
            </w:pPr>
            <w:r>
              <w:rPr>
                <w:rFonts w:hint="eastAsia"/>
                <w:szCs w:val="21"/>
              </w:rPr>
              <w:t>在线捐款功能模块（含前端和后台及报表）</w:t>
            </w:r>
          </w:p>
        </w:tc>
        <w:tc>
          <w:tcPr>
            <w:tcW w:w="4909" w:type="dxa"/>
          </w:tcPr>
          <w:p>
            <w:pPr>
              <w:pStyle w:val="6"/>
              <w:numPr>
                <w:ilvl w:val="0"/>
                <w:numId w:val="1"/>
              </w:numPr>
              <w:ind w:firstLineChars="0"/>
              <w:jc w:val="left"/>
              <w:rPr>
                <w:szCs w:val="21"/>
              </w:rPr>
            </w:pPr>
            <w:r>
              <w:rPr>
                <w:rFonts w:hint="eastAsia"/>
                <w:szCs w:val="21"/>
              </w:rPr>
              <w:t>页面展示字段参考福建农林大学的捐款页面：</w:t>
            </w:r>
          </w:p>
          <w:p>
            <w:pPr>
              <w:pStyle w:val="6"/>
              <w:ind w:left="360" w:firstLine="0" w:firstLineChars="0"/>
              <w:jc w:val="left"/>
            </w:pPr>
            <w:r>
              <w:fldChar w:fldCharType="begin"/>
            </w:r>
            <w:r>
              <w:instrText xml:space="preserve"> HYPERLINK "http://edf.fafu.edu.cn/page/index.jsp" </w:instrText>
            </w:r>
            <w:r>
              <w:fldChar w:fldCharType="separate"/>
            </w:r>
            <w:r>
              <w:rPr>
                <w:rStyle w:val="3"/>
              </w:rPr>
              <w:t>http://edf.fafu.edu.cn/page/index.jsp</w:t>
            </w:r>
            <w:r>
              <w:rPr>
                <w:rStyle w:val="3"/>
              </w:rPr>
              <w:fldChar w:fldCharType="end"/>
            </w:r>
          </w:p>
          <w:p>
            <w:pPr>
              <w:pStyle w:val="6"/>
              <w:numPr>
                <w:ilvl w:val="0"/>
                <w:numId w:val="1"/>
              </w:numPr>
              <w:ind w:firstLineChars="0"/>
              <w:jc w:val="left"/>
            </w:pPr>
            <w:r>
              <w:rPr>
                <w:rFonts w:hint="eastAsia"/>
              </w:rPr>
              <w:t>捐赠金额和姓名设为必填字段；</w:t>
            </w:r>
          </w:p>
          <w:p>
            <w:pPr>
              <w:pStyle w:val="6"/>
              <w:numPr>
                <w:ilvl w:val="0"/>
                <w:numId w:val="1"/>
              </w:numPr>
              <w:ind w:firstLineChars="0"/>
              <w:jc w:val="left"/>
            </w:pPr>
            <w:r>
              <w:rPr>
                <w:rFonts w:hint="eastAsia"/>
              </w:rPr>
              <w:t>“捐赠项目”、“捐赠院系”、“毕业院系”、“所属校友会”等栏设置为可自定义填写栏；</w:t>
            </w:r>
          </w:p>
          <w:p>
            <w:pPr>
              <w:pStyle w:val="6"/>
              <w:numPr>
                <w:ilvl w:val="0"/>
                <w:numId w:val="1"/>
              </w:numPr>
              <w:ind w:firstLineChars="0"/>
              <w:jc w:val="left"/>
            </w:pPr>
            <w:r>
              <w:rPr>
                <w:rFonts w:hint="eastAsia"/>
              </w:rPr>
              <w:t>“微信支付”须增加验证码功能；</w:t>
            </w:r>
          </w:p>
          <w:p>
            <w:pPr>
              <w:pStyle w:val="6"/>
              <w:numPr>
                <w:ilvl w:val="0"/>
                <w:numId w:val="1"/>
              </w:numPr>
              <w:ind w:firstLineChars="0"/>
              <w:jc w:val="left"/>
            </w:pPr>
            <w:r>
              <w:rPr>
                <w:rFonts w:hint="eastAsia"/>
              </w:rPr>
              <w:t>捐赠完成后有感谢回执的页面；</w:t>
            </w:r>
          </w:p>
          <w:p>
            <w:pPr>
              <w:pStyle w:val="6"/>
              <w:numPr>
                <w:ilvl w:val="0"/>
                <w:numId w:val="1"/>
              </w:numPr>
              <w:ind w:firstLineChars="0"/>
              <w:jc w:val="left"/>
            </w:pPr>
            <w:r>
              <w:rPr>
                <w:rFonts w:hint="eastAsia"/>
              </w:rPr>
              <w:t>捐赠推广二维码；</w:t>
            </w:r>
          </w:p>
          <w:p>
            <w:pPr>
              <w:pStyle w:val="6"/>
              <w:numPr>
                <w:ilvl w:val="0"/>
                <w:numId w:val="1"/>
              </w:numPr>
              <w:ind w:firstLineChars="0"/>
              <w:jc w:val="left"/>
            </w:pPr>
            <w:r>
              <w:rPr>
                <w:rFonts w:hint="eastAsia"/>
              </w:rPr>
              <w:t>帐户设置成只进帐款，无法转出功能；</w:t>
            </w:r>
          </w:p>
          <w:p>
            <w:pPr>
              <w:pStyle w:val="6"/>
              <w:numPr>
                <w:ilvl w:val="0"/>
                <w:numId w:val="1"/>
              </w:numPr>
              <w:ind w:firstLineChars="0"/>
              <w:jc w:val="left"/>
            </w:pPr>
            <w:r>
              <w:rPr>
                <w:rFonts w:hint="eastAsia"/>
              </w:rPr>
              <w:t>后台支持导出包括捐赠信息，支付信息的支付订单；</w:t>
            </w:r>
          </w:p>
          <w:p>
            <w:pPr>
              <w:pStyle w:val="6"/>
              <w:numPr>
                <w:ilvl w:val="0"/>
                <w:numId w:val="1"/>
              </w:numPr>
              <w:ind w:firstLineChars="0"/>
              <w:jc w:val="left"/>
            </w:pPr>
            <w:r>
              <w:rPr>
                <w:rFonts w:hint="eastAsia"/>
              </w:rPr>
              <w:t>版本支持：电脑浏览，手机浏览，微信公众号浏览；</w:t>
            </w:r>
          </w:p>
          <w:p>
            <w:pPr>
              <w:pStyle w:val="6"/>
              <w:numPr>
                <w:ilvl w:val="0"/>
                <w:numId w:val="1"/>
              </w:numPr>
              <w:ind w:firstLineChars="0"/>
              <w:jc w:val="left"/>
            </w:pPr>
            <w:r>
              <w:rPr>
                <w:rFonts w:hint="eastAsia"/>
              </w:rPr>
              <w:t>支付接口支持：电脑浏览和手机浏览支付采用闽师大财务处提供的统一支付平台接口，微信公众号采用微信支付接口；</w:t>
            </w:r>
          </w:p>
          <w:p>
            <w:pPr>
              <w:pStyle w:val="6"/>
              <w:numPr>
                <w:ilvl w:val="0"/>
                <w:numId w:val="1"/>
              </w:numPr>
              <w:ind w:firstLineChars="0"/>
              <w:jc w:val="left"/>
            </w:pPr>
            <w:r>
              <w:rPr>
                <w:rFonts w:hint="eastAsia"/>
              </w:rPr>
              <w:t>按捐赠学院分布情况的饼图报表；</w:t>
            </w:r>
          </w:p>
          <w:p>
            <w:pPr>
              <w:pStyle w:val="6"/>
              <w:numPr>
                <w:ilvl w:val="0"/>
                <w:numId w:val="1"/>
              </w:numPr>
              <w:ind w:firstLineChars="0"/>
              <w:jc w:val="left"/>
            </w:pPr>
            <w:r>
              <w:rPr>
                <w:rFonts w:hint="eastAsia"/>
              </w:rPr>
              <w:t>按毕业学院分布情况的饼图报表；</w:t>
            </w:r>
            <w:bookmarkStart w:id="0" w:name="_GoBack"/>
            <w:bookmarkEnd w:id="0"/>
          </w:p>
          <w:p>
            <w:pPr>
              <w:pStyle w:val="6"/>
              <w:numPr>
                <w:ilvl w:val="0"/>
                <w:numId w:val="1"/>
              </w:numPr>
              <w:ind w:firstLineChars="0"/>
              <w:jc w:val="left"/>
            </w:pPr>
            <w:r>
              <w:rPr>
                <w:rFonts w:hint="eastAsia"/>
              </w:rPr>
              <w:t>按校友会分布情况的饼图报表；</w:t>
            </w:r>
          </w:p>
          <w:p>
            <w:pPr>
              <w:pStyle w:val="6"/>
              <w:numPr>
                <w:ilvl w:val="0"/>
                <w:numId w:val="1"/>
              </w:numPr>
              <w:ind w:firstLineChars="0"/>
              <w:jc w:val="left"/>
            </w:pPr>
            <w:r>
              <w:rPr>
                <w:rFonts w:hint="eastAsia"/>
              </w:rPr>
              <w:t>按用户身份分布情况的饼图报表；</w:t>
            </w:r>
          </w:p>
          <w:p>
            <w:pPr>
              <w:pStyle w:val="6"/>
              <w:numPr>
                <w:ilvl w:val="0"/>
                <w:numId w:val="1"/>
              </w:numPr>
              <w:ind w:firstLineChars="0"/>
              <w:jc w:val="left"/>
              <w:rPr>
                <w:szCs w:val="21"/>
              </w:rPr>
            </w:pPr>
            <w:r>
              <w:rPr>
                <w:rFonts w:hint="eastAsia"/>
              </w:rPr>
              <w:t>报表的支持版本：电脑浏览；</w:t>
            </w:r>
          </w:p>
          <w:p>
            <w:pPr>
              <w:pStyle w:val="6"/>
              <w:numPr>
                <w:ilvl w:val="0"/>
                <w:numId w:val="1"/>
              </w:numPr>
              <w:ind w:firstLineChars="0"/>
              <w:jc w:val="left"/>
              <w:rPr>
                <w:szCs w:val="21"/>
              </w:rPr>
            </w:pPr>
            <w:r>
              <w:rPr>
                <w:rFonts w:hint="eastAsia"/>
              </w:rPr>
              <w:t>后期网页微调与更新。</w:t>
            </w:r>
          </w:p>
        </w:tc>
        <w:tc>
          <w:tcPr>
            <w:tcW w:w="625" w:type="dxa"/>
          </w:tcPr>
          <w:p>
            <w:pPr>
              <w:rPr>
                <w:szCs w:val="21"/>
              </w:rPr>
            </w:pPr>
            <w:r>
              <w:rPr>
                <w:rFonts w:hint="eastAsia"/>
                <w:szCs w:val="21"/>
              </w:rPr>
              <w:t>1</w:t>
            </w:r>
          </w:p>
        </w:tc>
        <w:tc>
          <w:tcPr>
            <w:tcW w:w="1364" w:type="dxa"/>
          </w:tcPr>
          <w:p>
            <w:pPr>
              <w:rPr>
                <w:szCs w:val="21"/>
              </w:rPr>
            </w:pPr>
            <w:r>
              <w:rPr>
                <w:rFonts w:hint="eastAsia"/>
                <w:szCs w:val="21"/>
              </w:rPr>
              <w:t>协助学校做好微信帐号收款功能开通与测试工作。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73A5"/>
    <w:multiLevelType w:val="multilevel"/>
    <w:tmpl w:val="303473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53CA3"/>
    <w:rsid w:val="5EB53C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2018-11-28T02:07:00Z</dcterms:created>
  <dc:creator>Administrator</dc:creator>
  <cp:lastModifiedBy>Administrator</cp:lastModifiedBy>
  <dcterms:modified xsi:type="dcterms:W3CDTF">2018-11-28T03:47:56Z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